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1428 Maple Street Outstanding Materials Estimate Work</w:t>
      </w:r>
    </w:p>
    <w:p>
      <w:pPr>
        <w:pStyle w:val="Subtitle"/>
      </w:pPr>
      <w:r>
        <w:t>Skokie Illinois   Project 00-0000   30 September 2026</w:t>
      </w:r>
    </w:p>
    <w:p>
      <w:r>
        <w:t>The materials estimate remains preliminary and unpriced. Of 145 material lines, 64 have a supported base quantity and 81 still need a quantity. Even the counted items need specification, supplier or design review before purchase. This document identifies the remaining work, the relevant drawing references and the evidence needed to close each issue.</w:t>
      </w:r>
    </w:p>
    <w:tbl>
      <w:tblPr>
        <w:tblW w:type="auto" w:w="0"/>
        <w:jc w:val="center"/>
        <w:tblLayout w:type="fixed"/>
        <w:tblLook w:firstColumn="1" w:firstRow="1" w:lastColumn="0" w:lastRow="0" w:noHBand="0" w:noVBand="1" w:val="04A0"/>
      </w:tblPr>
      <w:tblGrid>
        <w:gridCol w:w="2880"/>
        <w:gridCol w:w="7200"/>
      </w:tblGrid>
      <w:tr>
        <w:trPr>
          <w:tblHeader/>
          <w:cantSplit/>
        </w:trPr>
        <w:tc>
          <w:tcPr>
            <w:tcW w:type="dxa" w:w="2880"/>
            <w:shd w:fill="343A4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b/>
                <w:color w:val="FFFFFF"/>
                <w:sz w:val="20"/>
              </w:rPr>
              <w:t>Estimate status</w:t>
            </w:r>
          </w:p>
        </w:tc>
        <w:tc>
          <w:tcPr>
            <w:tcW w:type="dxa" w:w="7200"/>
            <w:shd w:fill="343A4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b/>
                <w:color w:val="FFFFFF"/>
                <w:sz w:val="20"/>
              </w:rPr>
              <w:t>Current position</w:t>
            </w:r>
          </w:p>
        </w:tc>
      </w:tr>
      <w:tr>
        <w:trPr>
          <w:cantSplit/>
        </w:trPr>
        <w:tc>
          <w:tcPr>
            <w:tcW w:type="dxa" w:w="288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20"/>
              </w:rPr>
              <w:t>Quantities</w:t>
            </w:r>
          </w:p>
        </w:tc>
        <w:tc>
          <w:tcPr>
            <w:tcW w:type="dxa" w:w="720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20"/>
              </w:rPr>
              <w:t>64 quantified lines and 81 unresolved lines</w:t>
            </w:r>
          </w:p>
        </w:tc>
      </w:tr>
      <w:tr>
        <w:trPr>
          <w:cantSplit/>
        </w:trPr>
        <w:tc>
          <w:tcPr>
            <w:tcW w:type="dxa" w:w="288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20"/>
              </w:rPr>
              <w:t>Prices</w:t>
            </w:r>
          </w:p>
        </w:tc>
        <w:tc>
          <w:tcPr>
            <w:tcW w:type="dxa" w:w="720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20"/>
              </w:rPr>
              <w:t>No verified retailer prices or supplier quotations</w:t>
            </w:r>
          </w:p>
        </w:tc>
      </w:tr>
      <w:tr>
        <w:trPr>
          <w:cantSplit/>
        </w:trPr>
        <w:tc>
          <w:tcPr>
            <w:tcW w:type="dxa" w:w="288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20"/>
              </w:rPr>
              <w:t>Review findings</w:t>
            </w:r>
          </w:p>
        </w:tc>
        <w:tc>
          <w:tcPr>
            <w:tcW w:type="dxa" w:w="720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20"/>
              </w:rPr>
              <w:t>17 open items identified as C01 through C17</w:t>
            </w:r>
          </w:p>
        </w:tc>
      </w:tr>
      <w:tr>
        <w:trPr>
          <w:cantSplit/>
        </w:trPr>
        <w:tc>
          <w:tcPr>
            <w:tcW w:type="dxa" w:w="288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20"/>
              </w:rPr>
              <w:t>Purchasing status</w:t>
            </w:r>
          </w:p>
        </w:tc>
        <w:tc>
          <w:tcPr>
            <w:tcW w:type="dxa" w:w="720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20"/>
              </w:rPr>
              <w:t>Full purchasing list not ready for release</w:t>
            </w:r>
          </w:p>
        </w:tc>
      </w:tr>
    </w:tbl>
    <w:p>
      <w:pPr>
        <w:spacing w:after="0"/>
      </w:pPr>
    </w:p>
    <w:p>
      <w:pPr>
        <w:pStyle w:val="Heading1"/>
      </w:pPr>
      <w:r>
        <w:t>Work to complete first</w:t>
      </w:r>
    </w:p>
    <w:p>
      <w:r>
        <w:t>1. Confirm the current approved plan set and the project scope. The supplied drawings are a 2022 permit issue for alteration and additions, with a detached garage.</w:t>
      </w:r>
    </w:p>
    <w:p>
      <w:r>
        <w:t>2. Obtain written designer responses to conflicting footing, drainage, plumbing, wall and insulation requirements.</w:t>
      </w:r>
    </w:p>
    <w:p>
      <w:r>
        <w:t>3. Complete the main-house dimension-based takeoff and the trade-specific pipe, wire and duct measurements.</w:t>
      </w:r>
    </w:p>
    <w:p>
      <w:r>
        <w:t>4. Obtain fabrication schedules and shop information for engineered trusses, structural steel, windows and custom assemblies.</w:t>
      </w:r>
    </w:p>
    <w:p>
      <w:r>
        <w:t>5. Convert quantities into verified stock lengths and supplier packages, then add compatible retailer prices and supplier quotes.</w:t>
      </w:r>
    </w:p>
    <w:p>
      <w:pPr>
        <w:pStyle w:val="Heading1"/>
      </w:pPr>
      <w:r>
        <w:t>Scope that needs confirmation</w:t>
      </w:r>
    </w:p>
    <w:p>
      <w:r>
        <w:t>C01: The revised SOW initially supports new detached single-family construction. This project is an alteration with second-story, rear and side additions. Treat the detached garage as a separate conditional scope. Rear exterior flatwork is outside the default pre-drywall milestone and must be separated from shared porch reinforcement and aggregate quantities. Existing basement slab, foundation portions, sump, water meter and 200 A panel are not presumed new purchases.</w:t>
      </w:r>
    </w:p>
    <w:p>
      <w:r>
        <w:t>Recommended coordinators below describe who would normally resolve each issue. They are not assigned individuals or confirmed commitments.</w:t>
      </w:r>
    </w:p>
    <w:p>
      <w:r>
        <w:br w:type="page"/>
      </w:r>
    </w:p>
    <w:p>
      <w:pPr>
        <w:pStyle w:val="Heading1"/>
      </w:pPr>
      <w:r>
        <w:t>Foundation and plumbing decisions</w:t>
      </w:r>
    </w:p>
    <w:p>
      <w:r>
        <w:t>Resolve these design choices before using affected quantities to place orders. A drawing conflict should be closed by a documented response, not an estimating assumption.</w:t>
      </w:r>
    </w:p>
    <w:p>
      <w:pPr>
        <w:pStyle w:val="Heading2"/>
      </w:pPr>
      <w:r>
        <w:t>Footings</w:t>
      </w:r>
    </w:p>
    <w:p>
      <w:r>
        <w:rPr>
          <w:b/>
        </w:rPr>
        <w:t xml:space="preserve">C02 Finding </w:t>
      </w:r>
      <w:r>
        <w:t>Foundation plan calls for 24 in footing width; section shows 22 in.</w:t>
      </w:r>
    </w:p>
    <w:p>
      <w:r>
        <w:rPr>
          <w:b/>
        </w:rPr>
        <w:t xml:space="preserve">Close with </w:t>
      </w:r>
      <w:r>
        <w:t>Architect/structural engineer to resolve width before concrete/rebar order.</w:t>
      </w:r>
    </w:p>
    <w:p>
      <w:pPr>
        <w:spacing w:after="160"/>
      </w:pPr>
      <w:r>
        <w:rPr>
          <w:color w:val="464646"/>
          <w:sz w:val="18"/>
        </w:rPr>
        <w:t>Source: A3.0/1 p9; A4.0/5 p11. Recommended coordinator: architect and structural engineer.</w:t>
      </w:r>
    </w:p>
    <w:p>
      <w:pPr>
        <w:pStyle w:val="Heading2"/>
      </w:pPr>
      <w:r>
        <w:t>Drainage and sump</w:t>
      </w:r>
    </w:p>
    <w:p>
      <w:r>
        <w:rPr>
          <w:b/>
        </w:rPr>
        <w:t xml:space="preserve">C03 Finding </w:t>
      </w:r>
      <w:r>
        <w:t>Plans/riser connect to existing sump; section references new sump.</w:t>
      </w:r>
    </w:p>
    <w:p>
      <w:r>
        <w:rPr>
          <w:b/>
        </w:rPr>
        <w:t xml:space="preserve">Close with </w:t>
      </w:r>
      <w:r>
        <w:t>Confirm retained versus new sump and discharge layout.</w:t>
      </w:r>
    </w:p>
    <w:p>
      <w:pPr>
        <w:spacing w:after="160"/>
      </w:pPr>
      <w:r>
        <w:rPr>
          <w:color w:val="464646"/>
          <w:sz w:val="18"/>
        </w:rPr>
        <w:t>Source: A3.0/1 p9; A4.0/4 p11; P1.2 p18. Recommended coordinator: architect and plumbing contractor.</w:t>
      </w:r>
    </w:p>
    <w:p>
      <w:pPr>
        <w:pStyle w:val="Heading2"/>
      </w:pPr>
      <w:r>
        <w:t>Water material</w:t>
      </w:r>
    </w:p>
    <w:p>
      <w:r>
        <w:rPr>
          <w:b/>
        </w:rPr>
        <w:t xml:space="preserve">C04 Finding </w:t>
      </w:r>
      <w:r>
        <w:t>Supply diagram says all Type M copper; schedule and general notes specify Type L suspended water and Type K underground.</w:t>
      </w:r>
    </w:p>
    <w:p>
      <w:r>
        <w:rPr>
          <w:b/>
        </w:rPr>
        <w:t xml:space="preserve">Close with </w:t>
      </w:r>
      <w:r>
        <w:t>Designer/plumber to resolve material by service; do not substitute PEX.</w:t>
      </w:r>
    </w:p>
    <w:p>
      <w:pPr>
        <w:spacing w:after="160"/>
      </w:pPr>
      <w:r>
        <w:rPr>
          <w:color w:val="464646"/>
          <w:sz w:val="18"/>
        </w:rPr>
        <w:t>Source: P1.0 p17. Recommended coordinator: plumbing designer and contractor.</w:t>
      </w:r>
    </w:p>
    <w:p>
      <w:pPr>
        <w:pStyle w:val="Heading2"/>
      </w:pPr>
      <w:r>
        <w:t>Water heater</w:t>
      </w:r>
    </w:p>
    <w:p>
      <w:r>
        <w:rPr>
          <w:b/>
        </w:rPr>
        <w:t xml:space="preserve">C05 Finding </w:t>
      </w:r>
      <w:r>
        <w:t>Supply riser shows two new 50-gallon heaters; mechanical schedule lists 75-gallon Rheem.</w:t>
      </w:r>
    </w:p>
    <w:p>
      <w:r>
        <w:rPr>
          <w:b/>
        </w:rPr>
        <w:t xml:space="preserve">Close with </w:t>
      </w:r>
      <w:r>
        <w:t>Resolve number, capacity and retained/new scope.</w:t>
      </w:r>
    </w:p>
    <w:p>
      <w:pPr>
        <w:spacing w:after="160"/>
      </w:pPr>
      <w:r>
        <w:rPr>
          <w:color w:val="464646"/>
          <w:sz w:val="18"/>
        </w:rPr>
        <w:t>Source: P1.0 p17; M2.0 p16. Recommended coordinator: mechanical and plumbing designers.</w:t>
      </w:r>
    </w:p>
    <w:p>
      <w:pPr>
        <w:pStyle w:val="Heading2"/>
      </w:pPr>
      <w:r>
        <w:t>Fixture scope</w:t>
      </w:r>
    </w:p>
    <w:p>
      <w:r>
        <w:rPr>
          <w:b/>
        </w:rPr>
        <w:t xml:space="preserve">C06 Finding </w:t>
      </w:r>
      <w:r>
        <w:t>Schedule lists 3 new WC, 5 lavs, 2 tubs; diagrams label 5 WC, 7 lavs, 4 tubs new.</w:t>
      </w:r>
    </w:p>
    <w:p>
      <w:r>
        <w:rPr>
          <w:b/>
        </w:rPr>
        <w:t xml:space="preserve">Close with </w:t>
      </w:r>
      <w:r>
        <w:t>Reconcile replacement versus retained fixtures before purchasing rough units.</w:t>
      </w:r>
    </w:p>
    <w:p>
      <w:pPr>
        <w:spacing w:after="160"/>
      </w:pPr>
      <w:r>
        <w:rPr>
          <w:color w:val="464646"/>
          <w:sz w:val="18"/>
        </w:rPr>
        <w:t>Source: P1.0 p17; P1.2 p18. Recommended coordinator: architect and plumbing contractor.</w:t>
      </w:r>
    </w:p>
    <w:p>
      <w:r>
        <w:br w:type="page"/>
      </w:r>
    </w:p>
    <w:p>
      <w:pPr>
        <w:pStyle w:val="Heading1"/>
      </w:pPr>
      <w:r>
        <w:t>Framing envelope and electrical decisions</w:t>
      </w:r>
    </w:p>
    <w:p>
      <w:pPr>
        <w:pStyle w:val="Heading2"/>
      </w:pPr>
      <w:r>
        <w:t>Wall Type B</w:t>
      </w:r>
    </w:p>
    <w:p>
      <w:r>
        <w:rPr>
          <w:b/>
        </w:rPr>
        <w:t xml:space="preserve">C07 Finding </w:t>
      </w:r>
      <w:r>
        <w:t>Type B text specifies 2x4 framing, while cavity dimension is 5-1/2 in.</w:t>
      </w:r>
    </w:p>
    <w:p>
      <w:r>
        <w:rPr>
          <w:b/>
        </w:rPr>
        <w:t xml:space="preserve">Close with </w:t>
      </w:r>
      <w:r>
        <w:t>Resolve wall framing size and affected bearing walls.</w:t>
      </w:r>
    </w:p>
    <w:p>
      <w:pPr>
        <w:spacing w:after="160"/>
      </w:pPr>
      <w:r>
        <w:rPr>
          <w:color w:val="464646"/>
          <w:sz w:val="18"/>
        </w:rPr>
        <w:t>Source: A1.2 p6. Recommended coordinator: architect and structural engineer.</w:t>
      </w:r>
    </w:p>
    <w:p>
      <w:pPr>
        <w:pStyle w:val="Heading2"/>
      </w:pPr>
      <w:r>
        <w:t>Basement insulation</w:t>
      </w:r>
    </w:p>
    <w:p>
      <w:r>
        <w:rPr>
          <w:b/>
        </w:rPr>
        <w:t xml:space="preserve">C08 Finding </w:t>
      </w:r>
      <w:r>
        <w:t>Type C lists 1-1/2 in faced mineral fiber; foundation sections list 1-1/2 in rigid insulation.</w:t>
      </w:r>
    </w:p>
    <w:p>
      <w:r>
        <w:rPr>
          <w:b/>
        </w:rPr>
        <w:t xml:space="preserve">Close with </w:t>
      </w:r>
      <w:r>
        <w:t>Resolve basement assembly, R-value and coverage.</w:t>
      </w:r>
    </w:p>
    <w:p>
      <w:pPr>
        <w:spacing w:after="160"/>
      </w:pPr>
      <w:r>
        <w:rPr>
          <w:color w:val="464646"/>
          <w:sz w:val="18"/>
        </w:rPr>
        <w:t>Source: A1.2/Type C p6; A4.0/4-5 p11; A4.1/4 p12. Recommended coordinator: architect and energy consultant.</w:t>
      </w:r>
    </w:p>
    <w:p>
      <w:pPr>
        <w:pStyle w:val="Heading2"/>
      </w:pPr>
      <w:r>
        <w:t>Garage side door</w:t>
      </w:r>
    </w:p>
    <w:p>
      <w:r>
        <w:rPr>
          <w:b/>
        </w:rPr>
        <w:t xml:space="preserve">C09 Finding </w:t>
      </w:r>
      <w:r>
        <w:t>Door 014 is outdoors on garage but scheduled Type A single-leaf interior.</w:t>
      </w:r>
    </w:p>
    <w:p>
      <w:r>
        <w:rPr>
          <w:b/>
        </w:rPr>
        <w:t xml:space="preserve">Close with </w:t>
      </w:r>
      <w:r>
        <w:t>Confirm exterior-rated assembly/finish.</w:t>
      </w:r>
    </w:p>
    <w:p>
      <w:pPr>
        <w:spacing w:after="160"/>
      </w:pPr>
      <w:r>
        <w:rPr>
          <w:color w:val="464646"/>
          <w:sz w:val="18"/>
        </w:rPr>
        <w:t>Source: A1.0 schedule p4; A1.3 p7. Recommended coordinator: architect and door supplier.</w:t>
      </w:r>
    </w:p>
    <w:p>
      <w:pPr>
        <w:pStyle w:val="Heading2"/>
      </w:pPr>
      <w:r>
        <w:t>Garage grade beam</w:t>
      </w:r>
    </w:p>
    <w:p>
      <w:r>
        <w:rPr>
          <w:b/>
        </w:rPr>
        <w:t xml:space="preserve">C10 Finding </w:t>
      </w:r>
      <w:r>
        <w:t>Reinforced grade beam is called out without section dimensions or reinforcing schedule.</w:t>
      </w:r>
    </w:p>
    <w:p>
      <w:r>
        <w:rPr>
          <w:b/>
        </w:rPr>
        <w:t xml:space="preserve">Close with </w:t>
      </w:r>
      <w:r>
        <w:t>Obtain dimensioned grade-beam/rebar detail.</w:t>
      </w:r>
    </w:p>
    <w:p>
      <w:pPr>
        <w:spacing w:after="160"/>
      </w:pPr>
      <w:r>
        <w:rPr>
          <w:color w:val="464646"/>
          <w:sz w:val="18"/>
        </w:rPr>
        <w:t>Source: A1.3/2 p7. Recommended coordinator: structural engineer.</w:t>
      </w:r>
    </w:p>
    <w:p>
      <w:pPr>
        <w:pStyle w:val="Heading2"/>
      </w:pPr>
      <w:r>
        <w:t>Existing panel</w:t>
      </w:r>
    </w:p>
    <w:p>
      <w:r>
        <w:rPr>
          <w:b/>
        </w:rPr>
        <w:t xml:space="preserve">C11 Finding </w:t>
      </w:r>
      <w:r>
        <w:t>Existing 200 A panel is identified; general notes also call for 200 A service as required. No circuit schedule supplied.</w:t>
      </w:r>
    </w:p>
    <w:p>
      <w:r>
        <w:rPr>
          <w:b/>
        </w:rPr>
        <w:t xml:space="preserve">Close with </w:t>
      </w:r>
      <w:r>
        <w:t>Confirm capacity, retained service and required panel/breaker changes.</w:t>
      </w:r>
    </w:p>
    <w:p>
      <w:pPr>
        <w:spacing w:after="160"/>
      </w:pPr>
      <w:r>
        <w:rPr>
          <w:color w:val="464646"/>
          <w:sz w:val="18"/>
        </w:rPr>
        <w:t>Source: A1.0 p4; E1.0 p13. Recommended coordinator: electrical designer and contractor.</w:t>
      </w:r>
    </w:p>
    <w:p>
      <w:pPr>
        <w:pStyle w:val="Heading2"/>
      </w:pPr>
      <w:r>
        <w:t>Window safety and egress</w:t>
      </w:r>
    </w:p>
    <w:p>
      <w:r>
        <w:rPr>
          <w:b/>
        </w:rPr>
        <w:t xml:space="preserve">C12 Finding </w:t>
      </w:r>
      <w:r>
        <w:t>W2 is 3x4 ft double-hung; egress well detail requires 5.7 SF clear opening. Supplier operation/clear opening is unverified.</w:t>
      </w:r>
    </w:p>
    <w:p>
      <w:r>
        <w:rPr>
          <w:b/>
        </w:rPr>
        <w:t xml:space="preserve">Close with </w:t>
      </w:r>
      <w:r>
        <w:t>Obtain certified clear-opening and safety-glazing specifications.</w:t>
      </w:r>
    </w:p>
    <w:p>
      <w:pPr>
        <w:spacing w:after="160"/>
      </w:pPr>
      <w:r>
        <w:rPr>
          <w:color w:val="464646"/>
          <w:sz w:val="18"/>
        </w:rPr>
        <w:t>Source: A1.1 schedule p5; A4.0/6 p11. Recommended coordinator: architect and window supplier.</w:t>
      </w:r>
    </w:p>
    <w:p>
      <w:r>
        <w:br w:type="page"/>
      </w:r>
    </w:p>
    <w:p>
      <w:pPr>
        <w:pStyle w:val="Heading1"/>
      </w:pPr>
      <w:r>
        <w:t>Quantity work remaining by stage</w:t>
      </w:r>
    </w:p>
    <w:p>
      <w:r>
        <w:t>C13 and C14: The drawings contain substantial information that has not yet been fully measured in the current estimate. An unresolved quantity does not always mean the drawing is missing. Some lines need additional takeoff work; others need a designer decision, routing information or a supplier schedule. Appendix A lists all 81 affected material IDs.</w:t>
      </w:r>
    </w:p>
    <w:tbl>
      <w:tblPr>
        <w:tblW w:type="auto" w:w="0"/>
        <w:jc w:val="center"/>
        <w:tblLayout w:type="fixed"/>
        <w:tblLook w:firstColumn="1" w:firstRow="1" w:lastColumn="0" w:lastRow="0" w:noHBand="0" w:noVBand="1" w:val="04A0"/>
      </w:tblPr>
      <w:tblGrid>
        <w:gridCol w:w="2160"/>
        <w:gridCol w:w="936"/>
        <w:gridCol w:w="6984"/>
      </w:tblGrid>
      <w:tr>
        <w:trPr>
          <w:tblHeader/>
          <w:cantSplit/>
        </w:trPr>
        <w:tc>
          <w:tcPr>
            <w:tcW w:type="dxa" w:w="2160"/>
            <w:shd w:fill="343A4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b/>
                <w:color w:val="FFFFFF"/>
                <w:sz w:val="18"/>
              </w:rPr>
              <w:t>Stage</w:t>
            </w:r>
          </w:p>
        </w:tc>
        <w:tc>
          <w:tcPr>
            <w:tcW w:type="dxa" w:w="936"/>
            <w:shd w:fill="343A4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b/>
                <w:color w:val="FFFFFF"/>
                <w:sz w:val="18"/>
              </w:rPr>
              <w:t>Open lines</w:t>
            </w:r>
          </w:p>
        </w:tc>
        <w:tc>
          <w:tcPr>
            <w:tcW w:type="dxa" w:w="6984"/>
            <w:shd w:fill="343A4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b/>
                <w:color w:val="FFFFFF"/>
                <w:sz w:val="18"/>
              </w:rPr>
              <w:t>Required takeoff or confirmation</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8"/>
              </w:rPr>
              <w:t>Foundation &amp; slab</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14</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Measure new slab and foundation polygons separately from retained work. Resolve footing width, elevations, drainage and reinforcing laps.</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8"/>
              </w:rPr>
              <w:t>Floor framing</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5</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Produce truss/member counts and spans. Obtain delegated truss design, steel cut lengths, rim/blocking and connection schedules.</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8"/>
              </w:rPr>
              <w:t>Wall framing</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11</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Measure new wall runs by type and height. Count opening/corner framing, headers, plates, lintels, blocking and stair framing.</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8"/>
              </w:rPr>
              <w:t>Roof framing</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6</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Count rafters and joists by roof zone. Measure ridges/valleys, ledgers, posts, blocking and connector requirements.</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8"/>
              </w:rPr>
              <w:t>Sheathing</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3</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Measure subfloor minus voids, wall surfaces and roof planes. Confirm panel grade, thickness, size and edge specification.</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8"/>
              </w:rPr>
              <w:t>Roofing / dry-in</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7</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Measure shingle and metal roof planes separately; measure eaves, valleys, ridges, ice barrier and flashing lengths.</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8"/>
              </w:rPr>
              <w:t>Exterior envelope</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4</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Measure WRB coverage and opening/penetration flashing. Confirm a garage-specific wall and WRB assembly.</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8"/>
              </w:rPr>
              <w:t>Windows &amp; exterior doors</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0</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Counts are available. Resolve egress, safety glazing, door 014 and custom storefront/shop specifications before order.</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8"/>
              </w:rPr>
              <w:t>Rough plumbing</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9</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Measure diameter-specific copper/DWV/gas runs and fittings. Reconcile fixtures, heaters, sump and pre-close rough units.</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8"/>
              </w:rPr>
              <w:t>Rough electrical</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8</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Prepare box/circuit takeoff, conduit and conductor routes, garage feed, protection, panel changes and grounding.</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8"/>
              </w:rPr>
              <w:t>Rough HVAC</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6</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Measure duct centerlines by size, fittings and insulation; establish line-set, condensate and exhaust/combustion-air routes.</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8"/>
              </w:rPr>
              <w:t>Insulation</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5</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8"/>
              </w:rPr>
              <w:t>Measure net assembly areas; resolve basement material and R-values; confirm optional sound insulation and roof supports.</w:t>
            </w:r>
          </w:p>
        </w:tc>
      </w:tr>
      <w:tr>
        <w:trPr>
          <w:cantSplit/>
        </w:trPr>
        <w:tc>
          <w:tcPr>
            <w:tcW w:type="dxa" w:w="216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8"/>
              </w:rPr>
              <w:t>Air sealing / fireblocking</w:t>
            </w:r>
          </w:p>
        </w:tc>
        <w:tc>
          <w:tcPr>
            <w:tcW w:type="dxa" w:w="936"/>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3</w:t>
            </w:r>
          </w:p>
        </w:tc>
        <w:tc>
          <w:tcPr>
            <w:tcW w:type="dxa" w:w="6984"/>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8"/>
              </w:rPr>
              <w:t>Count penetrations and required backing/fireblocking locations; select compatible approved materials.</w:t>
            </w:r>
          </w:p>
        </w:tc>
      </w:tr>
    </w:tbl>
    <w:p>
      <w:pPr>
        <w:spacing w:after="0"/>
      </w:pPr>
    </w:p>
    <w:p>
      <w:r>
        <w:t>The open-line counts total 81 and include the garage annex. Zero open quantity lines for windows and doors does not mean those products are ready to purchase.</w:t>
      </w:r>
    </w:p>
    <w:p>
      <w:r>
        <w:br w:type="page"/>
      </w:r>
    </w:p>
    <w:p>
      <w:pPr>
        <w:pStyle w:val="Heading1"/>
      </w:pPr>
      <w:r>
        <w:t>Pricing order conversion and release</w:t>
      </w:r>
    </w:p>
    <w:p>
      <w:pPr>
        <w:pStyle w:val="Heading2"/>
      </w:pPr>
      <w:r>
        <w:t>Current drawings and inspection sequence</w:t>
      </w:r>
    </w:p>
    <w:p>
      <w:r>
        <w:t>C15: Confirm the latest approved permit drawings and any addenda. The supplied set is marked Issue for Permit on 27 June 2022. A3.0 carries 28 June 2022 and M2.0 includes a 4 September 2019 title date. Obtain the applicable rough-trade, insulation and close-in inspection sequence. The estimate has not established approval status or current city requirements.</w:t>
      </w:r>
    </w:p>
    <w:p>
      <w:pPr>
        <w:pStyle w:val="Heading2"/>
      </w:pPr>
      <w:r>
        <w:t>Compatible pricing</w:t>
      </w:r>
    </w:p>
    <w:p>
      <w:r>
        <w:t>C16: Retail pricing must match the actual material specification and sold unit. Obtain verified Home Depot and Lowe's product mappings, project ZIP/store, package coverage, unit price, URL and capture date. Obtain separate supplier quotations for ready-mix, engineered members/trusses, fabricated steel, custom openings and scheduled HVAC equipment. No quotation request has been sent.</w:t>
      </w:r>
    </w:p>
    <w:p>
      <w:pPr>
        <w:pStyle w:val="Heading2"/>
      </w:pPr>
      <w:r>
        <w:t>Purchasable quantities</w:t>
      </w:r>
    </w:p>
    <w:p>
      <w:r>
        <w:t>C17: Confirm concrete design strength; the drawing note reads Fc=400pcs and is not reliable enough to set a mix specification. Confirm stock lengths, cut requirements, reinforcing laps, pipe sticks, wire spools, insulation packages and supplier minimums. Apply waste once, then round to verified order units. The garage roof conversion to 22 panels assumes 32 SF per panel and remains provisional.</w:t>
      </w:r>
    </w:p>
    <w:p>
      <w:pPr>
        <w:pStyle w:val="Heading1"/>
      </w:pPr>
      <w:r>
        <w:t>Evidence required before purchasing</w:t>
      </w:r>
    </w:p>
    <w:p>
      <w:r>
        <w:t>1. Current plan issue and retained-versus-new scope confirmed, with garage and exterior flatwork separated.</w:t>
      </w:r>
    </w:p>
    <w:p>
      <w:r>
        <w:t>2. Conflicting design requirements resolved in writing, and the affected material lines updated.</w:t>
      </w:r>
    </w:p>
    <w:p>
      <w:r>
        <w:t>3. Remaining geometry, member counts and trade route takeoffs completed or explicitly excluded from a defined purchasing package.</w:t>
      </w:r>
    </w:p>
    <w:p>
      <w:r>
        <w:t>4. Supplier/shop information available for engineered and custom items; substitutions approved where necessary.</w:t>
      </w:r>
    </w:p>
    <w:p>
      <w:r>
        <w:t>5. Base quantities, waste, stock/package conversion and final order quantities checked against the current documents.</w:t>
      </w:r>
    </w:p>
    <w:p>
      <w:r>
        <w:t>6. Verified compatible prices and supplier quotes recorded with dates, units and scope. Unpriced items remain visible.</w:t>
      </w:r>
    </w:p>
    <w:p>
      <w:r>
        <w:t>7. Estimator and responsible trade/design reviewers complete the review of the proposed purchasing package.</w:t>
      </w:r>
    </w:p>
    <w:p>
      <w:r>
        <w:t>A fully priced retail basket would still exclude unpriced supplier items, labor, taxes, delivery, equipment rental, contractor markup and other project costs. BV360 does not determine whether construction passes inspection.</w:t>
      </w:r>
    </w:p>
    <w:p>
      <w:r>
        <w:br w:type="page"/>
      </w:r>
    </w:p>
    <w:p>
      <w:pPr>
        <w:pStyle w:val="Heading1"/>
      </w:pPr>
      <w:r>
        <w:t>Appendix A Unresolved material lines</w:t>
      </w:r>
    </w:p>
    <w:p>
      <w:r>
        <w:t>The following 81 IDs correspond to blank base quantities in 1428_Maple_Street_Materials_Estimate.xlsx. The workbook retains each line's full specification, calculation basis, source sheets and review note. Counted lines needing specification or order review are covered by the decisions above and remain visible in that workbook.</w:t>
      </w:r>
    </w:p>
    <w:tbl>
      <w:tblPr>
        <w:tblW w:type="auto" w:w="0"/>
        <w:jc w:val="center"/>
        <w:tblLayout w:type="fixed"/>
        <w:tblLook w:firstColumn="1" w:firstRow="1" w:lastColumn="0" w:lastRow="0" w:noHBand="0" w:noVBand="1" w:val="04A0"/>
      </w:tblPr>
      <w:tblGrid>
        <w:gridCol w:w="1152"/>
        <w:gridCol w:w="8928"/>
      </w:tblGrid>
      <w:tr>
        <w:trPr>
          <w:tblHeader/>
          <w:cantSplit/>
        </w:trPr>
        <w:tc>
          <w:tcPr>
            <w:tcW w:type="dxa" w:w="1152"/>
            <w:shd w:fill="343A4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b/>
                <w:color w:val="FFFFFF"/>
                <w:sz w:val="19"/>
              </w:rPr>
              <w:t>Material ID</w:t>
            </w:r>
          </w:p>
        </w:tc>
        <w:tc>
          <w:tcPr>
            <w:tcW w:type="dxa" w:w="8928"/>
            <w:shd w:fill="343A40"/>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b/>
                <w:color w:val="FFFFFF"/>
                <w:sz w:val="19"/>
              </w:rPr>
              <w:t>Outstanding quantity</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left"/>
            </w:pPr>
            <w:r>
              <w:rPr>
                <w:rFonts w:ascii="Arial" w:hAnsi="Arial"/>
                <w:b/>
                <w:sz w:val="19"/>
              </w:rPr>
              <w:t>House Foundation &amp; slab</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M001</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New basement slab concrete</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M002</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New continuous footing concrete</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M003</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New foundation wall concrete</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M008</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Porch/rear thickened-edge concrete</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M012</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Foundation wall/footing rebar</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M015</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Sill anchor bolts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M016</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PT sole plates and sill seal</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M017</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Foundation waterproofing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M018</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Foundation exterior insulation</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M019</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Interior drain tile</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M020</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Drainage stone, sleeves and supports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M021</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Rebar chairs/supports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M022</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Underslab vapor barrier</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left"/>
            </w:pPr>
            <w:r>
              <w:rPr>
                <w:rFonts w:ascii="Arial" w:hAnsi="Arial"/>
                <w:b/>
                <w:sz w:val="19"/>
              </w:rPr>
              <w:t>House Floor framing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M025</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Engineered floor trusses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M026</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Double floor trusses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M027</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LVL headers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M028</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Floor steel beams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M029</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Rim boards, truss blocking and hangers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left"/>
            </w:pPr>
            <w:r>
              <w:rPr>
                <w:rFonts w:ascii="Arial" w:hAnsi="Arial"/>
                <w:b/>
                <w:sz w:val="19"/>
              </w:rPr>
              <w:t>House Wall framing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M032</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Exterior studs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M033</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Exterior plates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M034</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Interior partition studs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M035</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Interior partition plates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M036</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Type B wall framing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M037</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Basement furring framing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M038</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Headers, king/jack studs and cripples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M039</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Lintels and masonry support angles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M040</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Blocking, straps, ties and framing fasteners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M041</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Stair rough framing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left"/>
            </w:pPr>
            <w:r>
              <w:rPr>
                <w:rFonts w:ascii="Arial" w:hAnsi="Arial"/>
                <w:b/>
                <w:sz w:val="19"/>
              </w:rPr>
              <w:t>House Roof framing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M042</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Main roof rafters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M043</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Ceiling joists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M044</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Ridges, valleys and doubled rafters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M045</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Porch ledgers and connections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M046</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Roof posts, blocking, ties and nails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left"/>
            </w:pPr>
            <w:r>
              <w:rPr>
                <w:rFonts w:ascii="Arial" w:hAnsi="Arial"/>
                <w:b/>
                <w:sz w:val="19"/>
              </w:rPr>
              <w:t>House Sheathing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M047</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Floor subfloor</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M048</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Wall sheathing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M049</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House/porch roof sheathing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left"/>
            </w:pPr>
            <w:r>
              <w:rPr>
                <w:rFonts w:ascii="Arial" w:hAnsi="Arial"/>
                <w:b/>
                <w:sz w:val="19"/>
              </w:rPr>
              <w:t>House Roofing / dry-in</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M050</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Main roof shingles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M051</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Porch standing seam roof</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M052</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Roof underlayment</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M053</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Ice and water membrane</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M054</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Drip edge, flashing, boots and sealants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M055</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Ridge vents and ridge cap</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left"/>
            </w:pPr>
            <w:r>
              <w:rPr>
                <w:rFonts w:ascii="Arial" w:hAnsi="Arial"/>
                <w:b/>
                <w:sz w:val="19"/>
              </w:rPr>
              <w:t>House Exterior envelope</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M056</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Weather-resistive barrier</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M057</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Window/door flashing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M058</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Envelope penetration seals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left"/>
            </w:pPr>
            <w:r>
              <w:rPr>
                <w:rFonts w:ascii="Arial" w:hAnsi="Arial"/>
                <w:b/>
                <w:sz w:val="19"/>
              </w:rPr>
              <w:t>House Rough plumbing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M076</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Copper domestic branches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M077</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New underground water service</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M078</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Water fittings, valves and supports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M079</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Hot-water pipe insulation</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M080</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Cast iron DWV and fittings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M081</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Gas rough piping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M082</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Tub/shower rough units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M086</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Water heaters and pre-close connections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M087</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Sump system changes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left"/>
            </w:pPr>
            <w:r>
              <w:rPr>
                <w:rFonts w:ascii="Arial" w:hAnsi="Arial"/>
                <w:b/>
                <w:sz w:val="19"/>
              </w:rPr>
              <w:t>House Rough electrical</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M088</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Electrical conduit</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M089</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Branch-circuit conductors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M090</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Feeder/garage circuit materials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M091</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Outlet, switch and lighting rough boxes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M092</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Panel/breaker modifications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M093</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Grounding, bonding, connectors and supports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M094</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Low-voltage cable and raceways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shd w:fill="E2E5E8"/>
          </w:tcPr>
          <w:p>
            <w:pPr>
              <w:keepNext/>
              <w:spacing w:after="0" w:line="247" w:lineRule="auto"/>
              <w:jc w:val="left"/>
            </w:pPr>
            <w:r>
              <w:rPr>
                <w:rFonts w:ascii="Arial" w:hAnsi="Arial"/>
                <w:b/>
                <w:sz w:val="19"/>
              </w:rPr>
              <w:t>House Rough HVAC</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M113</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Rigid round duct</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M114</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Rectangular duct and transitions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M115</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Duct fittings, dampers, hangers and sealant</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M116</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Duct insulation</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M117</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Refrigerant piping and condensate</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M118</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Exhaust, dryer vent and combustion air</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left"/>
            </w:pPr>
            <w:r>
              <w:rPr>
                <w:rFonts w:ascii="Arial" w:hAnsi="Arial"/>
                <w:b/>
                <w:sz w:val="19"/>
              </w:rPr>
              <w:t>House Insulation</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M119</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Exterior wall insulation</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M120</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Roof insulation</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M121</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Basement interior insulation</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M122</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Optional sound insulation</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M123</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Baffles and insulation supports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left"/>
            </w:pPr>
            <w:r>
              <w:rPr>
                <w:rFonts w:ascii="Arial" w:hAnsi="Arial"/>
                <w:b/>
                <w:sz w:val="19"/>
              </w:rPr>
              <w:t>House Air sealing / fireblocking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M124</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Air-sealing materials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jc w:val="center"/>
            </w:pPr>
            <w:r>
              <w:rPr>
                <w:rFonts w:ascii="Arial" w:hAnsi="Arial"/>
                <w:sz w:val="19"/>
              </w:rPr>
              <w:t>M125</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tcPr>
          <w:p>
            <w:pPr>
              <w:spacing w:after="0" w:line="247" w:lineRule="auto"/>
            </w:pPr>
            <w:r>
              <w:rPr>
                <w:rFonts w:ascii="Arial" w:hAnsi="Arial"/>
                <w:sz w:val="19"/>
              </w:rPr>
              <w:t>Fireblocking/draftstopping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M126</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Backing and pre-close framing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left"/>
            </w:pPr>
            <w:r>
              <w:rPr>
                <w:rFonts w:ascii="Arial" w:hAnsi="Arial"/>
                <w:b/>
                <w:sz w:val="19"/>
              </w:rPr>
              <w:t>Garage Foundation &amp; slab</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M129</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Garage grade beam and reinforcement</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left"/>
            </w:pPr>
            <w:r>
              <w:rPr>
                <w:rFonts w:ascii="Arial" w:hAnsi="Arial"/>
                <w:b/>
                <w:sz w:val="19"/>
              </w:rPr>
              <w:t>Garage Wall framing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M130</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Garage wall studs and plates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left"/>
            </w:pPr>
            <w:r>
              <w:rPr>
                <w:rFonts w:ascii="Arial" w:hAnsi="Arial"/>
                <w:b/>
                <w:sz w:val="19"/>
              </w:rPr>
              <w:t>Garage Roof framing</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M137</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Outriggers, bridging and connections</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left"/>
            </w:pPr>
            <w:r>
              <w:rPr>
                <w:rFonts w:ascii="Arial" w:hAnsi="Arial"/>
                <w:b/>
                <w:sz w:val="19"/>
              </w:rPr>
              <w:t>Garage Roofing / dry-in</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M140</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Garage underlayment/flashing/ice barrier</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left"/>
            </w:pPr>
            <w:r>
              <w:rPr>
                <w:rFonts w:ascii="Arial" w:hAnsi="Arial"/>
                <w:b/>
                <w:sz w:val="19"/>
              </w:rPr>
              <w:t>Garage Exterior envelope</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M141</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Garage wall sheathing and WRB</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center"/>
            </w:pPr>
            <w:r>
              <w:rPr>
                <w:rFonts w:ascii="Arial" w:hAnsi="Arial"/>
                <w:b/>
                <w:sz w:val="19"/>
              </w:rPr>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E2E5E8"/>
          </w:tcPr>
          <w:p>
            <w:pPr>
              <w:keepNext/>
              <w:spacing w:after="0" w:line="247" w:lineRule="auto"/>
              <w:jc w:val="left"/>
            </w:pPr>
            <w:r>
              <w:rPr>
                <w:rFonts w:ascii="Arial" w:hAnsi="Arial"/>
                <w:b/>
                <w:sz w:val="19"/>
              </w:rPr>
              <w:t>Garage Rough electrical</w:t>
            </w:r>
          </w:p>
        </w:tc>
      </w:tr>
      <w:tr>
        <w:trPr>
          <w:cantSplit/>
        </w:trPr>
        <w:tc>
          <w:tcPr>
            <w:tcW w:type="dxa" w:w="1152"/>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jc w:val="center"/>
            </w:pPr>
            <w:r>
              <w:rPr>
                <w:rFonts w:ascii="Arial" w:hAnsi="Arial"/>
                <w:sz w:val="19"/>
              </w:rPr>
              <w:t>M145</w:t>
            </w:r>
          </w:p>
        </w:tc>
        <w:tc>
          <w:tcPr>
            <w:tcW w:type="dxa" w:w="8928"/>
            <w:vAlign w:val="center"/>
            <w:tcBorders>
              <w:top w:val="single" w:sz="4" w:color="D9D9D9"/>
              <w:left w:val="single" w:sz="4" w:color="D9D9D9"/>
              <w:bottom w:val="single" w:sz="4" w:color="D9D9D9"/>
              <w:right w:val="single" w:sz="4" w:color="D9D9D9"/>
            </w:tcBorders>
            <w:tcMar>
              <w:top w:w="65" w:type="dxa"/>
              <w:bottom w:w="65" w:type="dxa"/>
              <w:left w:w="95" w:type="dxa"/>
              <w:right w:w="95" w:type="dxa"/>
            </w:tcMar>
            <w:shd w:fill="F2F4F5"/>
          </w:tcPr>
          <w:p>
            <w:pPr>
              <w:spacing w:after="0" w:line="247" w:lineRule="auto"/>
            </w:pPr>
            <w:r>
              <w:rPr>
                <w:rFonts w:ascii="Arial" w:hAnsi="Arial"/>
                <w:sz w:val="19"/>
              </w:rPr>
              <w:t>Garage rough electrical package</w:t>
            </w:r>
          </w:p>
        </w:tc>
      </w:tr>
    </w:tbl>
    <w:p>
      <w:pPr>
        <w:spacing w:after="0"/>
      </w:pPr>
    </w:p>
    <w:p>
      <w:r>
        <w:t>References: revised SOW_PREFLIGHT_MATERIALS_ESTIMATOR.pdf, dated 29 September 2026; 18-sheet 1428 Maple Street permit set, project 00-0000; materials estimate dated 30 September 2026. PDF page references in this document refer to the supplied drawings.</w:t>
      </w:r>
    </w:p>
    <w:sectPr w:rsidR="00FC693F" w:rsidRPr="0006063C" w:rsidSect="00034616">
      <w:footerReference w:type="default" r:id="rId9"/>
      <w:pgSz w:w="12240" w:h="15840"/>
      <w:pgMar w:top="1008" w:right="1080" w:bottom="1008"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05050"/>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1428 Maple Street Outstanding Materials Estimate Work</dc:title>
  <dc:subject>Open quantities, drawing decisions, pricing and purchasing requirements</dc:subject>
  <dc:creator>BV360</dc:creator>
  <cp:keywords/>
  <dc:description>generated by python-docx</dc:description>
  <cp:lastModifiedBy/>
  <cp:revision>1</cp:revision>
  <dcterms:created xsi:type="dcterms:W3CDTF">2013-12-23T23:15:00Z</dcterms:created>
  <dcterms:modified xsi:type="dcterms:W3CDTF">2013-12-23T23:15:00Z</dcterms:modified>
  <cp:category/>
</cp:coreProperties>
</file>